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55" w:rsidRPr="0089203B" w:rsidRDefault="00694655" w:rsidP="00573394">
      <w:pPr>
        <w:pStyle w:val="aa"/>
        <w:ind w:left="0"/>
        <w:jc w:val="center"/>
        <w:rPr>
          <w:sz w:val="28"/>
          <w:szCs w:val="28"/>
          <w:lang w:val="uk-UA"/>
        </w:rPr>
      </w:pPr>
      <w:r w:rsidRPr="0089203B"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  <w:r w:rsidRPr="0089203B">
        <w:rPr>
          <w:b/>
          <w:sz w:val="28"/>
          <w:szCs w:val="28"/>
          <w:lang w:val="uk-UA"/>
        </w:rPr>
        <w:t>СТАВНЕНСЬКА СІЛЬСЬКА РАДА</w:t>
      </w: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  <w:r w:rsidRPr="0089203B">
        <w:rPr>
          <w:b/>
          <w:sz w:val="28"/>
          <w:szCs w:val="28"/>
          <w:lang w:val="uk-UA"/>
        </w:rPr>
        <w:t xml:space="preserve">УЖГОРОДСЬКОГО РАЙОНУ </w:t>
      </w: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  <w:r w:rsidRPr="0089203B">
        <w:rPr>
          <w:b/>
          <w:sz w:val="28"/>
          <w:szCs w:val="28"/>
          <w:lang w:val="uk-UA"/>
        </w:rPr>
        <w:t>ЗАКАРПАТСЬКОЇ ОБЛАСТІ</w:t>
      </w: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  <w:r w:rsidRPr="0089203B">
        <w:rPr>
          <w:b/>
          <w:sz w:val="28"/>
          <w:szCs w:val="28"/>
          <w:lang w:val="uk-UA"/>
        </w:rPr>
        <w:t xml:space="preserve">ВИКОНАВЧИЙ КОМІТЕТ </w:t>
      </w: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</w:p>
    <w:p w:rsidR="00694655" w:rsidRPr="0089203B" w:rsidRDefault="00694655" w:rsidP="00573394">
      <w:pPr>
        <w:pStyle w:val="aa"/>
        <w:ind w:left="0"/>
        <w:jc w:val="center"/>
        <w:rPr>
          <w:b/>
          <w:sz w:val="36"/>
          <w:szCs w:val="36"/>
          <w:lang w:val="uk-UA"/>
        </w:rPr>
      </w:pPr>
      <w:r w:rsidRPr="0089203B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89203B">
        <w:rPr>
          <w:b/>
          <w:sz w:val="36"/>
          <w:szCs w:val="36"/>
          <w:lang w:val="uk-UA"/>
        </w:rPr>
        <w:t>Н</w:t>
      </w:r>
      <w:proofErr w:type="spellEnd"/>
      <w:r w:rsidRPr="0089203B">
        <w:rPr>
          <w:b/>
          <w:sz w:val="36"/>
          <w:szCs w:val="36"/>
          <w:lang w:val="uk-UA"/>
        </w:rPr>
        <w:t xml:space="preserve"> Я</w:t>
      </w:r>
    </w:p>
    <w:p w:rsidR="00694655" w:rsidRPr="0089203B" w:rsidRDefault="00694655" w:rsidP="00573394">
      <w:pPr>
        <w:pStyle w:val="aa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51"/>
        <w:gridCol w:w="3191"/>
      </w:tblGrid>
      <w:tr w:rsidR="00694655" w:rsidRPr="0089203B" w:rsidTr="00101A7D">
        <w:tc>
          <w:tcPr>
            <w:tcW w:w="3794" w:type="dxa"/>
            <w:hideMark/>
          </w:tcPr>
          <w:p w:rsidR="00694655" w:rsidRPr="0089203B" w:rsidRDefault="00694655" w:rsidP="00573394">
            <w:pPr>
              <w:pStyle w:val="aa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89203B">
              <w:rPr>
                <w:sz w:val="28"/>
                <w:szCs w:val="28"/>
                <w:lang w:val="uk-UA" w:eastAsia="en-US"/>
              </w:rPr>
              <w:t>24 липня 2024 року</w:t>
            </w:r>
          </w:p>
        </w:tc>
        <w:tc>
          <w:tcPr>
            <w:tcW w:w="2551" w:type="dxa"/>
            <w:hideMark/>
          </w:tcPr>
          <w:p w:rsidR="00694655" w:rsidRPr="0089203B" w:rsidRDefault="00694655" w:rsidP="00573394">
            <w:pPr>
              <w:pStyle w:val="aa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 w:rsidRPr="0089203B"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694655" w:rsidRPr="0089203B" w:rsidRDefault="00694655" w:rsidP="00573394">
            <w:pPr>
              <w:pStyle w:val="aa"/>
              <w:ind w:left="0" w:right="175"/>
              <w:jc w:val="right"/>
              <w:rPr>
                <w:sz w:val="28"/>
                <w:szCs w:val="28"/>
                <w:lang w:val="uk-UA" w:eastAsia="en-US"/>
              </w:rPr>
            </w:pPr>
            <w:r w:rsidRPr="0089203B">
              <w:rPr>
                <w:sz w:val="28"/>
                <w:szCs w:val="28"/>
                <w:lang w:val="uk-UA" w:eastAsia="en-US"/>
              </w:rPr>
              <w:t>№__</w:t>
            </w:r>
            <w:r w:rsidRPr="0089203B">
              <w:rPr>
                <w:sz w:val="28"/>
                <w:szCs w:val="28"/>
                <w:u w:val="single"/>
                <w:lang w:val="uk-UA" w:eastAsia="en-US"/>
              </w:rPr>
              <w:t>112</w:t>
            </w:r>
            <w:r w:rsidRPr="0089203B">
              <w:rPr>
                <w:sz w:val="28"/>
                <w:szCs w:val="28"/>
                <w:lang w:val="uk-UA" w:eastAsia="en-US"/>
              </w:rPr>
              <w:t>____</w:t>
            </w:r>
          </w:p>
        </w:tc>
      </w:tr>
    </w:tbl>
    <w:p w:rsidR="00694655" w:rsidRDefault="00694655" w:rsidP="00573394">
      <w:pPr>
        <w:spacing w:after="0" w:line="240" w:lineRule="auto"/>
        <w:rPr>
          <w:sz w:val="28"/>
          <w:szCs w:val="28"/>
          <w:lang w:val="uk-UA"/>
        </w:rPr>
      </w:pPr>
    </w:p>
    <w:p w:rsidR="00910DEC" w:rsidRPr="0089203B" w:rsidRDefault="00910DEC" w:rsidP="00573394">
      <w:pPr>
        <w:spacing w:after="0" w:line="240" w:lineRule="auto"/>
        <w:rPr>
          <w:sz w:val="28"/>
          <w:szCs w:val="28"/>
          <w:lang w:val="uk-UA"/>
        </w:rPr>
      </w:pPr>
    </w:p>
    <w:p w:rsidR="00384522" w:rsidRPr="0089203B" w:rsidRDefault="00384522" w:rsidP="00910DEC">
      <w:pPr>
        <w:pStyle w:val="a3"/>
        <w:ind w:right="60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</w:t>
      </w:r>
      <w:r w:rsidR="008F1F11" w:rsidRPr="0089203B">
        <w:rPr>
          <w:rFonts w:ascii="Times New Roman" w:hAnsi="Times New Roman" w:cs="Times New Roman"/>
          <w:b/>
          <w:sz w:val="28"/>
          <w:szCs w:val="28"/>
          <w:lang w:val="uk-UA"/>
        </w:rPr>
        <w:t>конкурсної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з відбору суб’єктів оціночної діяльності для проведення незалежної оцінки об’єктів комунальної власності </w:t>
      </w:r>
      <w:proofErr w:type="spellStart"/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ради, що підлягають наданню в оренду чи відчуженню </w:t>
      </w:r>
      <w:r w:rsidR="008F1F11" w:rsidRPr="0089203B">
        <w:rPr>
          <w:rFonts w:ascii="Times New Roman" w:hAnsi="Times New Roman" w:cs="Times New Roman"/>
          <w:b/>
          <w:sz w:val="28"/>
          <w:szCs w:val="28"/>
          <w:lang w:val="uk-UA"/>
        </w:rPr>
        <w:t>та затвердження Положення</w:t>
      </w:r>
    </w:p>
    <w:p w:rsidR="00384522" w:rsidRPr="0089203B" w:rsidRDefault="00384522" w:rsidP="00573394">
      <w:pPr>
        <w:spacing w:after="0" w:line="240" w:lineRule="auto"/>
        <w:rPr>
          <w:rFonts w:ascii="Helvetica" w:hAnsi="Helvetica" w:cs="Helvetica"/>
          <w:color w:val="000000"/>
          <w:sz w:val="23"/>
          <w:szCs w:val="23"/>
          <w:shd w:val="clear" w:color="auto" w:fill="FFFFFF"/>
          <w:lang w:val="uk-UA"/>
        </w:rPr>
      </w:pPr>
    </w:p>
    <w:p w:rsidR="00910DEC" w:rsidRDefault="00910DEC" w:rsidP="005733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94655" w:rsidRPr="0089203B" w:rsidRDefault="00B22FAC" w:rsidP="005733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статті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25 Закону України «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оцінку майна, майнових прав та професійн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оціночну діяльність в Україні»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приватизацію державного та комунального майна», </w:t>
      </w: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статті 42, пункту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 статті 60 Закону України «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м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ісцеве самоврядування в Україні»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89203B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анови КМУ від 10.05.2018 №432 «</w:t>
      </w: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="00055E6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9203B">
        <w:rPr>
          <w:rFonts w:ascii="ProbaPro" w:hAnsi="ProbaPro"/>
          <w:color w:val="000000"/>
          <w:sz w:val="28"/>
          <w:szCs w:val="28"/>
          <w:lang w:val="uk-UA"/>
        </w:rPr>
        <w:t>Наказ</w:t>
      </w:r>
      <w:r w:rsidR="00055E64" w:rsidRPr="0089203B">
        <w:rPr>
          <w:rFonts w:ascii="ProbaPro" w:hAnsi="ProbaPro"/>
          <w:color w:val="000000"/>
          <w:sz w:val="28"/>
          <w:szCs w:val="28"/>
          <w:lang w:val="uk-UA"/>
        </w:rPr>
        <w:t>у</w:t>
      </w:r>
      <w:r w:rsidRPr="0089203B">
        <w:rPr>
          <w:rFonts w:ascii="ProbaPro" w:hAnsi="ProbaPro"/>
          <w:color w:val="000000"/>
          <w:sz w:val="28"/>
          <w:szCs w:val="28"/>
          <w:lang w:val="uk-UA"/>
        </w:rPr>
        <w:t xml:space="preserve"> Фонду державного майна України «Про затвердження положення про конкурсний відбір суб’єктів оціночної діяльності» №</w:t>
      </w:r>
      <w:r w:rsidR="00694655" w:rsidRPr="0089203B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89203B">
        <w:rPr>
          <w:rFonts w:ascii="ProbaPro" w:hAnsi="ProbaPro"/>
          <w:color w:val="000000"/>
          <w:sz w:val="28"/>
          <w:szCs w:val="28"/>
          <w:lang w:val="uk-UA"/>
        </w:rPr>
        <w:t>2075 від 31.12.2015 року (зі змінами</w:t>
      </w:r>
      <w:r w:rsidR="004F1511">
        <w:rPr>
          <w:rFonts w:ascii="ProbaPro" w:hAnsi="ProbaPro"/>
          <w:color w:val="000000"/>
          <w:sz w:val="28"/>
          <w:szCs w:val="28"/>
          <w:lang w:val="uk-UA"/>
        </w:rPr>
        <w:t xml:space="preserve">           </w:t>
      </w:r>
      <w:r w:rsidRPr="0089203B">
        <w:rPr>
          <w:rFonts w:ascii="ProbaPro" w:hAnsi="ProbaPro"/>
          <w:color w:val="000000"/>
          <w:sz w:val="28"/>
          <w:szCs w:val="28"/>
          <w:lang w:val="uk-UA"/>
        </w:rPr>
        <w:t xml:space="preserve"> №</w:t>
      </w:r>
      <w:r w:rsidR="004F1511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89203B">
        <w:rPr>
          <w:rFonts w:ascii="ProbaPro" w:hAnsi="ProbaPro"/>
          <w:color w:val="000000"/>
          <w:sz w:val="28"/>
          <w:szCs w:val="28"/>
          <w:lang w:val="uk-UA"/>
        </w:rPr>
        <w:t>227 від 11.02.2020 року)</w:t>
      </w:r>
      <w:r w:rsidR="00055E64" w:rsidRPr="0089203B">
        <w:rPr>
          <w:rFonts w:ascii="ProbaPro" w:hAnsi="ProbaPro"/>
          <w:color w:val="000000"/>
          <w:sz w:val="28"/>
          <w:szCs w:val="28"/>
          <w:lang w:val="uk-UA"/>
        </w:rPr>
        <w:t>,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B0A61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рішень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сесії </w:t>
      </w:r>
      <w:proofErr w:type="spellStart"/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 XVIII сесії VIII скликання №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662 та 663</w:t>
      </w:r>
      <w:r w:rsidR="002B0A61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14.06.2024 року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рішення виконавчого комітету </w:t>
      </w:r>
      <w:proofErr w:type="spellStart"/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 від </w:t>
      </w:r>
      <w:r w:rsidR="002B0A61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27.06.2024 року №</w:t>
      </w:r>
      <w:r w:rsidR="004F15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B0A61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99, 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врегулювання 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процедури залучення суб’єктів оціночної діяльності для проведення незалежної оцінки об’єктів комунальної власності </w:t>
      </w:r>
      <w:proofErr w:type="spellStart"/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ради, що підлягають наданню в оренду та відчуженню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94655"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694655" w:rsidRPr="0089203B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694655"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694655" w:rsidRPr="0089203B" w:rsidRDefault="00694655" w:rsidP="00573394">
      <w:pPr>
        <w:pStyle w:val="ab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694655" w:rsidRPr="0089203B" w:rsidRDefault="00694655" w:rsidP="0057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И Р І Ш И В:</w:t>
      </w:r>
    </w:p>
    <w:p w:rsidR="00694655" w:rsidRPr="0089203B" w:rsidRDefault="00694655" w:rsidP="0057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522" w:rsidRPr="0089203B" w:rsidRDefault="00384522" w:rsidP="00573394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Створити </w:t>
      </w:r>
      <w:r w:rsidR="00A60DC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конкурсну </w:t>
      </w: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комісію з відбору суб’єктів оціночної діяльності для проведення незалежної оцінки об’єктів комунальної власності </w:t>
      </w:r>
      <w:proofErr w:type="spellStart"/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ради, що підлягають наданню в оренду та відчуженню</w:t>
      </w:r>
      <w:r w:rsidR="004F15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додатком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20B74" w:rsidRPr="0089203B" w:rsidRDefault="00384522" w:rsidP="00573394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Положення про</w:t>
      </w:r>
      <w:r w:rsidR="00910DEC" w:rsidRPr="008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10DEC" w:rsidRPr="0091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конкурсну комісію з відбору суб’єктів оціночної діяльності для проведення незалежної оцінки об’єктів комунальної власності </w:t>
      </w:r>
      <w:proofErr w:type="spellStart"/>
      <w:r w:rsidR="00910DEC" w:rsidRPr="0091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="00910DEC" w:rsidRPr="0091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ради, що підлягають наданню в оренду та відчуженню</w:t>
      </w:r>
      <w:r w:rsidR="00910DEC"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A61" w:rsidRPr="0089203B"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  <w:r w:rsidR="00D20B74" w:rsidRPr="00892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935" w:rsidRPr="0089203B" w:rsidRDefault="009F04F9" w:rsidP="00573394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за виконанням р</w:t>
      </w:r>
      <w:r w:rsidR="0089203B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ішення </w:t>
      </w:r>
      <w:r w:rsidR="00910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цього рішення 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покласти на 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першого заступника сіль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ського голови з питань 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 виконавчих органів вла</w:t>
      </w:r>
      <w:r w:rsidR="00384522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 </w:t>
      </w:r>
      <w:r w:rsidR="00694655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Юрія ШОЛЯКА</w:t>
      </w:r>
      <w:r w:rsidR="00D20B74" w:rsidRPr="00892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20B74" w:rsidRPr="0089203B" w:rsidRDefault="00D20B74" w:rsidP="0057339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60DC2" w:rsidRPr="0089203B" w:rsidRDefault="00A60DC2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20B74" w:rsidRPr="0089203B" w:rsidRDefault="00D20B74" w:rsidP="00573394">
      <w:pPr>
        <w:pStyle w:val="a3"/>
        <w:tabs>
          <w:tab w:val="left" w:pos="6946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Сільський голова</w:t>
      </w:r>
      <w:r w:rsidR="00694655"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Іван МАНДРИК</w:t>
      </w:r>
    </w:p>
    <w:p w:rsidR="00694655" w:rsidRPr="0089203B" w:rsidRDefault="00694655" w:rsidP="0057339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 w:type="page"/>
      </w:r>
    </w:p>
    <w:p w:rsidR="0089203B" w:rsidRPr="0089203B" w:rsidRDefault="0089203B" w:rsidP="0089203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89203B" w:rsidRPr="0089203B" w:rsidRDefault="0089203B" w:rsidP="0089203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ішенням виконавчого комітету </w:t>
      </w:r>
      <w:proofErr w:type="spellStart"/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89203B" w:rsidRPr="0089203B" w:rsidRDefault="0089203B" w:rsidP="0089203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.2024 р. № 112</w:t>
      </w:r>
    </w:p>
    <w:p w:rsidR="00A60DC2" w:rsidRPr="0089203B" w:rsidRDefault="00A60DC2" w:rsidP="005733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DC2" w:rsidRPr="0089203B" w:rsidRDefault="00A60DC2" w:rsidP="0057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A60DC2" w:rsidRPr="0089203B" w:rsidRDefault="00A60DC2" w:rsidP="0057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конкурсної комісії з відбору суб’єктів оціночної діяльності для проведення незалежної оцінки об’єктів комунальної власності </w:t>
      </w:r>
      <w:proofErr w:type="spellStart"/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сільської ради, що підлягають наданню в оренду та відчуженню</w:t>
      </w:r>
    </w:p>
    <w:p w:rsidR="00A60DC2" w:rsidRPr="0089203B" w:rsidRDefault="00A60DC2" w:rsidP="0057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Look w:val="04A0"/>
      </w:tblPr>
      <w:tblGrid>
        <w:gridCol w:w="3794"/>
        <w:gridCol w:w="6095"/>
      </w:tblGrid>
      <w:tr w:rsidR="00A60DC2" w:rsidRPr="0089203B" w:rsidTr="0089203B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DC2" w:rsidRPr="0089203B" w:rsidRDefault="00A60DC2" w:rsidP="0057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</w:t>
            </w:r>
            <w:r w:rsidR="00694655" w:rsidRPr="008920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A60DC2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9203B" w:rsidRDefault="005832BB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ШОЛЯК </w:t>
            </w:r>
          </w:p>
          <w:p w:rsidR="00A60DC2" w:rsidRPr="0089203B" w:rsidRDefault="005832BB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Default="005832BB" w:rsidP="008920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9F04F9"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сільського голови </w:t>
            </w:r>
            <w:r w:rsid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питань </w:t>
            </w:r>
            <w:r w:rsidR="003B2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діяльності </w:t>
            </w:r>
            <w:r w:rsid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виконавчих органів влади</w:t>
            </w:r>
          </w:p>
          <w:p w:rsidR="0089203B" w:rsidRPr="0089203B" w:rsidRDefault="0089203B" w:rsidP="008920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4655" w:rsidRPr="0089203B" w:rsidTr="0089203B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комісії:</w:t>
            </w:r>
          </w:p>
        </w:tc>
      </w:tr>
      <w:tr w:rsidR="00694655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ЛЯЛЬКО </w:t>
            </w:r>
          </w:p>
          <w:p w:rsidR="00694655" w:rsidRPr="0089203B" w:rsidRDefault="00694655" w:rsidP="005733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Василина Федорівна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 сільської ради</w:t>
            </w:r>
          </w:p>
        </w:tc>
      </w:tr>
      <w:tr w:rsidR="00694655" w:rsidRPr="0089203B" w:rsidTr="0089203B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694655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ГРІДІНА </w:t>
            </w: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Богдана Анатоліївна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юридичного відділу сільської ради</w:t>
            </w:r>
          </w:p>
        </w:tc>
      </w:tr>
      <w:tr w:rsidR="00694655" w:rsidRPr="0089203B" w:rsidTr="0089203B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694655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ДЖУПІНА </w:t>
            </w: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 Юрійович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архітектури, містобудування, житлово-комунального господарства та інфраструктури сільської ради</w:t>
            </w:r>
          </w:p>
          <w:p w:rsidR="0089203B" w:rsidRPr="0089203B" w:rsidRDefault="0089203B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4655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ПЛАКОШ </w:t>
            </w: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соціально-економічного розвитку, інвестицій та надзвичайної ситуації сільської ради </w:t>
            </w:r>
          </w:p>
          <w:p w:rsidR="0089203B" w:rsidRPr="0089203B" w:rsidRDefault="0089203B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4655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РЕЙПАШІ </w:t>
            </w: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цифрової трансформації (</w:t>
            </w:r>
            <w:proofErr w:type="spellStart"/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сільської ради</w:t>
            </w:r>
          </w:p>
          <w:p w:rsidR="0089203B" w:rsidRPr="0089203B" w:rsidRDefault="0089203B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4655" w:rsidRPr="003B294E" w:rsidTr="0089203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9203B" w:rsidRDefault="00694655" w:rsidP="005733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ХИМИЧ</w:t>
            </w:r>
            <w:proofErr w:type="spellEnd"/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94655" w:rsidRPr="0089203B" w:rsidRDefault="00694655" w:rsidP="00573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0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відділу сільської ради</w:t>
            </w:r>
          </w:p>
        </w:tc>
      </w:tr>
    </w:tbl>
    <w:p w:rsidR="00694655" w:rsidRPr="0089203B" w:rsidRDefault="00694655" w:rsidP="005733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94655" w:rsidRPr="0089203B" w:rsidRDefault="00694655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94655" w:rsidRPr="0089203B" w:rsidRDefault="00694655" w:rsidP="00573394">
      <w:pPr>
        <w:pStyle w:val="a3"/>
        <w:tabs>
          <w:tab w:val="left" w:pos="6946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Сільський голова</w:t>
      </w:r>
      <w:r w:rsidRPr="008920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  <w:t>Іван МАНДРИК</w:t>
      </w:r>
    </w:p>
    <w:p w:rsidR="00694655" w:rsidRPr="0089203B" w:rsidRDefault="00694655" w:rsidP="00573394">
      <w:pPr>
        <w:spacing w:after="0" w:line="240" w:lineRule="auto"/>
        <w:rPr>
          <w:lang w:val="uk-UA"/>
        </w:rPr>
      </w:pPr>
      <w:r w:rsidRPr="0089203B">
        <w:rPr>
          <w:lang w:val="uk-UA"/>
        </w:rPr>
        <w:br w:type="page"/>
      </w:r>
    </w:p>
    <w:p w:rsidR="00A60DC2" w:rsidRPr="0089203B" w:rsidRDefault="00A60DC2" w:rsidP="00573394">
      <w:pPr>
        <w:spacing w:after="0" w:line="240" w:lineRule="auto"/>
        <w:ind w:left="5245"/>
        <w:rPr>
          <w:lang w:val="uk-UA"/>
        </w:rPr>
      </w:pPr>
    </w:p>
    <w:p w:rsidR="00573394" w:rsidRPr="0089203B" w:rsidRDefault="00573394" w:rsidP="00573394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573394" w:rsidRPr="0089203B" w:rsidRDefault="00573394" w:rsidP="00573394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Рішенням виконавчого комітету </w:t>
      </w:r>
      <w:proofErr w:type="spellStart"/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573394" w:rsidRPr="0089203B" w:rsidRDefault="00573394" w:rsidP="00573394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951A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951A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.2024 р. № 112</w:t>
      </w:r>
    </w:p>
    <w:p w:rsidR="00694655" w:rsidRPr="0089203B" w:rsidRDefault="00694655" w:rsidP="00573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694655" w:rsidRPr="0089203B" w:rsidRDefault="00384522" w:rsidP="00573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ПОЛОЖЕННЯ</w:t>
      </w:r>
    </w:p>
    <w:p w:rsidR="00384522" w:rsidRPr="0089203B" w:rsidRDefault="00384522" w:rsidP="005733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8920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9F04F9" w:rsidRPr="00892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конкурсну комісію з відбору суб’єктів оціночної діяльності для проведення незалежної оцінки об’єктів комунальної власності </w:t>
      </w:r>
      <w:proofErr w:type="spellStart"/>
      <w:r w:rsidR="009F04F9" w:rsidRPr="00892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="009F04F9" w:rsidRPr="00892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ради, що підлягають наданню в оренду та відчуженню</w:t>
      </w:r>
    </w:p>
    <w:p w:rsidR="009F04F9" w:rsidRPr="0089203B" w:rsidRDefault="009F04F9" w:rsidP="00573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22FAC" w:rsidRPr="0089203B" w:rsidRDefault="00B22FAC" w:rsidP="00910DE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 Загальні положення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 Положення</w:t>
      </w:r>
      <w:r w:rsidR="00055E64" w:rsidRPr="008920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55E64" w:rsidRPr="008920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55E64" w:rsidRPr="0089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конкурсну комісію з відбору суб’єктів оціночної діяльності для проведення незалежної оцінки об’єктів комунальної власності </w:t>
      </w:r>
      <w:proofErr w:type="spellStart"/>
      <w:r w:rsidR="00055E64" w:rsidRPr="0089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Ставненської</w:t>
      </w:r>
      <w:proofErr w:type="spellEnd"/>
      <w:r w:rsidR="00055E64" w:rsidRPr="0089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ради, що підлягають наданню в оренду та відчуженню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23DD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(далі – Положення)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розроблене відповідно до вимог Закону України «Про оцінку майна, майнових прав та професійну оціночну діяльність в Україні», нормативно-правових актів України</w:t>
      </w:r>
      <w:r w:rsidR="00FD13B7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</w:t>
      </w:r>
      <w:r w:rsidR="00FD13B7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 державного майна України «Про затвердження положення про конкурсний відбір суб’єктів оціночної діяльності» №2075 від 31.12.2015 року (зі змі</w:t>
      </w:r>
      <w:r w:rsidR="00055E64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нами №227 від 11.02.2020 року) та цього Положення</w:t>
      </w:r>
      <w:r w:rsidR="006B23DD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55E64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 У цьому Положенні нижченаведені термін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вживаються в такому значенні: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конкурсна документація - конкурсна пропозиція та підтвердні документи, що подаються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конкурсної комісії;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конкурсна пропозиція - пропозиція учасника конкурсу щодо вартості та строку 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робіт з оцінки майна;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претендент - суб’єкт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оціночної діяльності, який виявив бажання взяти участь у конкурсі та подав до конкурсної комісії необхідну документацію, 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передбаченими умовами конкурсу.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підтвердні документи 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документи, які визначають правовий статус претендента та містять інформацію про склад оцінювачів, які безпосередньо надаватимуть послуги з незалежної оцінки майна, їх практичний досвід, а також відповідні документи, що підтверджують п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раво на проведення таких робіт;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суб’єкти оціночної діяльності - суб’єкти господарювання, що отримали сертифікат суб’єкта оціночної діяльності відповідно до Закону України «Про оцінку майна, майнових прав та професійну 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оціночну діяльність в Україні»;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учасник конкурсу - суб’єкт оціночної діяльності, який подав документи, що відповідають умовам конкурсу, і якого допущено до участі в конкурсі. </w:t>
      </w:r>
    </w:p>
    <w:p w:rsidR="00DF038F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1.3. Конкурсний відбір суб’єктів оціночної діяльності здійснюється конкурсною комісією (далі - комісія), утвореною</w:t>
      </w:r>
      <w:r w:rsidR="00DF038F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EF24F5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ішенням виконавчого комітету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Кількісний та якісний склад комісії затверджується</w:t>
      </w:r>
      <w:r w:rsidR="00EF24F5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виконавчого комітету</w:t>
      </w:r>
      <w:r w:rsidR="00FD13B7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  <w:r w:rsidR="00DF038F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1.4. Очолює комісію голова</w:t>
      </w:r>
      <w:r w:rsidR="00DF038F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комісії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 разі відсутності голови комісії його обов’язки ви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конує заступник голови комісії.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комісії у 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межах наданих йому повноважень: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скликає засідання комісії;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2)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головує на засіданнях комісії;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приймає рішення про повторне проведення конкурсу у випадках, передбачених цим Положенням;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4)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видає доручення, обов’язкові для виконання членами комісії;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5)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організовує підготовку матеріалів для опрацювання комісією;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6)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підписує документи щодо роботи комісії, зокрема підсумкову таблицю визначення переможця конкурсного відбору суб’єкта оціночної діяльності;</w:t>
      </w:r>
    </w:p>
    <w:p w:rsidR="00B22FAC" w:rsidRPr="0089203B" w:rsidRDefault="00FD13B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7)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представляє комісію у відносинах з установами та організаціями, зокрема за рішенням комісії має право звертатися з відповідними письмовими запитами.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1.5. Секретар комісії є її членом та в межах наданих йому повноважень: 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 забезпечує виконання доручень голови комісії;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 готує довідкові матеріали для розгляду на засіданні комісії;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 складає протоколи засідань комісії, підсумкову таблицю визначення переможця конкурсного відбору суб’єкта оціночної діяльності.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1.6. До участі в конкурсі допускаються суб’єкти оціночної діяльності, які діють на підставі сертифікатів суб’єктів оціночної діяльності, виданих відповідно до Закону України «Про оцінку майна, майнових прав та професійну оціночну діяльність в Україні», яким передбачено здійснення діяльності з оцінки майна за напрямами оцінки майна та </w:t>
      </w:r>
      <w:proofErr w:type="spellStart"/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спеціалізаціями</w:t>
      </w:r>
      <w:proofErr w:type="spellEnd"/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межах цих напрямів, </w:t>
      </w:r>
      <w:r w:rsidR="004F15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відповідають об’єкту оцінки.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1.7. Вимогами до претендентів для участі в конкурсі з відбору суб’єктів оціночної ді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яльності передбачено наявність:</w:t>
      </w:r>
    </w:p>
    <w:p w:rsidR="00EF24F5" w:rsidRPr="0089203B" w:rsidRDefault="00EF24F5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складеної відповідно до цього По</w:t>
      </w:r>
      <w:r w:rsidR="002954E9"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ложення конкурсної документації;</w:t>
      </w:r>
    </w:p>
    <w:p w:rsidR="00EF24F5" w:rsidRPr="0089203B" w:rsidRDefault="00EF24F5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n280"/>
      <w:bookmarkEnd w:id="0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відповідної кваліфікації оцінювачів щодо об’єкта оцінки, що має підтверджуватися чинними кваліфікаційними свідоцтвами (кваліфікаційними документами) оцінювача, виданими згідно і</w:t>
      </w:r>
      <w:r w:rsid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8" w:tgtFrame="_blank" w:history="1">
        <w:r w:rsidRPr="00910D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Законом України</w:t>
        </w:r>
      </w:hyperlink>
      <w:r w:rsid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«Про оцінку майна, майнових прав та професійну оціночну діяльність в Україні»</w:t>
      </w:r>
      <w:r w:rsidR="00FD13B7"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F24F5" w:rsidRPr="0089203B" w:rsidRDefault="00EF24F5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n281"/>
      <w:bookmarkStart w:id="2" w:name="n282"/>
      <w:bookmarkStart w:id="3" w:name="n283"/>
      <w:bookmarkStart w:id="4" w:name="n284"/>
      <w:bookmarkEnd w:id="1"/>
      <w:bookmarkEnd w:id="2"/>
      <w:bookmarkEnd w:id="3"/>
      <w:bookmarkEnd w:id="4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спеціального дозволу на провадження діяльності, пов’язаної з державною таємницею, виданого суб’єкту оціночної діяльності (відповідної форми допусків оцінювачів, які перебувають у трудових відносинах із суб’єктом оціночної діяльності або яких він залучає за цивільно-правовими договорами) або спеціального дозволу, виданого іншому суб’єкту оціночної діяльності (відповідної форми допусків оцінювачів, які перебувають у трудових відносинах із суб’єктом оціночної діяльності або яких він залучає за цивільно-правовими договорами), якого за відповідним договором буде залучено до виконання робіт з оцінки </w:t>
      </w: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об’єктів, що містять інформацію, яка належить до державної таємниці (за потреби).</w:t>
      </w:r>
    </w:p>
    <w:p w:rsidR="00910DEC" w:rsidRDefault="00910DEC" w:rsidP="00910DE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22FAC" w:rsidRPr="0089203B" w:rsidRDefault="00B22FAC" w:rsidP="00910DE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II. Підготовка до проведення конкурсу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З метою проведення незалежної оцінки майна </w:t>
      </w:r>
      <w:proofErr w:type="spellStart"/>
      <w:r w:rsidR="00DF038F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Ставненська</w:t>
      </w:r>
      <w:proofErr w:type="spellEnd"/>
      <w:r w:rsidR="00DF038F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сільська рада Ужгородського району Закарпатської області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є замовником оцінки, забезпечує відбір суб’єктів оціночної діяльності – суб’єктів господарювання у випадку: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малої приватизації / або оренди об’єктів комунального майна ( у тому числі комунальних єдиних майнових комплексів, що є об’єктами малої приватизації) у разі відсутності / або дорівнює нулю б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алансова вартість об’єктів. 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 Конкурсна комісія визначає умови конкурсу з відбору суб’єктів оціночної діяльності для проведення незалежної оцінки майна та приймає р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 про оголошення конкурсу.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 Інформація про проведення конкурсу з відбору суб’єктів оц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іночної діяльності має містити:</w:t>
      </w: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дату, час і місце проведення конкурсу;</w:t>
      </w: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5" w:name="n247"/>
      <w:bookmarkEnd w:id="5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інформацію про об’єкт оцінки відповідно до</w:t>
      </w:r>
      <w:r w:rsid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anchor="n154" w:history="1">
        <w:r w:rsidRPr="00910D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додатка 1</w:t>
        </w:r>
      </w:hyperlink>
      <w:r w:rsid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Положення </w:t>
      </w:r>
      <w:r w:rsidRPr="008920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конкурсний відбір суб’єктів оціночної діяльності</w:t>
      </w:r>
      <w:r w:rsidR="00910D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920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затвердженого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Наказом Фонду державного майна України «Про затвердження положення про конкурсний відбір суб’єктів оціночної діяльності» №2075 від 31.12.2015 року</w:t>
      </w:r>
      <w:r w:rsidR="00EF3197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1 до Положення)</w:t>
      </w: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n248"/>
      <w:bookmarkEnd w:id="6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кінцевий термін подання документів;</w:t>
      </w: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7" w:name="n249"/>
      <w:bookmarkEnd w:id="7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строк виконання робіт у календарних днях (за потреби);</w:t>
      </w: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8" w:name="n250"/>
      <w:bookmarkEnd w:id="8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перелік підтвердних документів, які подаються на розгляд комісії;</w:t>
      </w:r>
    </w:p>
    <w:p w:rsidR="00BC427B" w:rsidRPr="0089203B" w:rsidRDefault="00BC427B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9" w:name="n251"/>
      <w:bookmarkStart w:id="10" w:name="n252"/>
      <w:bookmarkStart w:id="11" w:name="n255"/>
      <w:bookmarkEnd w:id="9"/>
      <w:bookmarkEnd w:id="10"/>
      <w:bookmarkEnd w:id="11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відомості про місцезнаходження комісії, контактні номери телефонів.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 Особи, які надають інформацію про об’єкт оцінки, відповідають за її достовірність, повноту та відповідність вимогам законодавства.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 Інформація про проведення конкурсу публікується на офіційному веб-сайті</w:t>
      </w:r>
      <w:r w:rsidR="00BC427B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C427B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Ставненської</w:t>
      </w:r>
      <w:proofErr w:type="spellEnd"/>
      <w:r w:rsidR="00BC427B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не пізніше </w:t>
      </w:r>
      <w:r w:rsidR="00BC427B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 календарних днів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дати проведення конкурсу. 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2.6. Претенденти подають до комісії конкурсну документацію в запечатаному конверті, на якому, крім поштових реквізитів, робиться відмітка «На конкурс» із зазначенням об’є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кта і дати проведення конкурсу.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 На конверті слід зазначити: «На конкурс з відбору суб’єктів оціночної діяльності», а також зазначити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- підприємця, який подає конкурсну документацію.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2.8. У конверті мають міститися підтвердні документи з їх описом та окремий запечатаний ко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нверт з конкурсною пропозицією.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2.9. </w:t>
      </w:r>
      <w:r w:rsidR="002954E9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заяви (додаток 2 до Положення) додаються підтвердні документи.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підтвердних документів, поданих на конкурс з відбору суб'єктів оціночної діяльності, належать:</w:t>
      </w:r>
    </w:p>
    <w:p w:rsidR="00E72EF0" w:rsidRPr="0089203B" w:rsidRDefault="00E72EF0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2" w:name="n266"/>
      <w:bookmarkEnd w:id="12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заява про участь у конкурсі з відбору суб’єктів оціночної діяльності за встановленою формою </w:t>
      </w:r>
      <w:r w:rsidRP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954E9" w:rsidRP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додаток 2</w:t>
      </w:r>
      <w:r w:rsidRP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bookmarkStart w:id="13" w:name="n267"/>
      <w:bookmarkStart w:id="14" w:name="n268"/>
      <w:bookmarkEnd w:id="13"/>
      <w:bookmarkEnd w:id="14"/>
      <w:r w:rsidRPr="0091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954E9" w:rsidRPr="0089203B" w:rsidRDefault="002954E9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5" w:name="n269"/>
      <w:bookmarkStart w:id="16" w:name="n270"/>
      <w:bookmarkEnd w:id="15"/>
      <w:bookmarkEnd w:id="16"/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виписка з Єдиного державного реєстру речових прав на нерухоме майно та їх обтяжень;</w:t>
      </w:r>
    </w:p>
    <w:p w:rsidR="002954E9" w:rsidRPr="0089203B" w:rsidRDefault="002954E9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наявність сертифіката суб’єкта оціночної діяльності;</w:t>
      </w:r>
    </w:p>
    <w:p w:rsidR="002954E9" w:rsidRPr="0089203B" w:rsidRDefault="002954E9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досвід роботи з оцінки подібного майна</w:t>
      </w:r>
      <w:r w:rsidR="001E7AAD"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щодо проведених оцінювальних робіт</w:t>
      </w: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954E9" w:rsidRPr="0089203B" w:rsidRDefault="002954E9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калькуляція витрат, пов’язаних з виконанням робіт;</w:t>
      </w:r>
    </w:p>
    <w:p w:rsidR="00EC011C" w:rsidRPr="0089203B" w:rsidRDefault="00EC011C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термін виконання робіт;</w:t>
      </w:r>
    </w:p>
    <w:p w:rsidR="002954E9" w:rsidRPr="0089203B" w:rsidRDefault="002954E9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пропозиція щодо ціни виконання робіт.</w:t>
      </w:r>
    </w:p>
    <w:p w:rsidR="00E37A7E" w:rsidRPr="0089203B" w:rsidRDefault="00E37A7E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2.10. Суб’єкт оціночної діяльності несе відповідальність за надання поданої їй інформації та документів.</w:t>
      </w:r>
    </w:p>
    <w:p w:rsidR="00E37A7E" w:rsidRPr="0089203B" w:rsidRDefault="00E37A7E" w:rsidP="0057339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2.11. У разі невідповідності документів вимогам чинного законодавства та цього Положення, а також у разі подання неповного пакета документів заява про участь у конкурсі не розглядається.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7" w:name="n274"/>
      <w:bookmarkEnd w:id="17"/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2.12. Претендент має право відкликати свою заяву до дати проведення конкурсу, повідомивши про це письмово голову комісії. </w:t>
      </w:r>
    </w:p>
    <w:p w:rsidR="00735C47" w:rsidRPr="0089203B" w:rsidRDefault="00735C4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2FAC" w:rsidRPr="0089203B" w:rsidRDefault="00B22FAC" w:rsidP="008920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III. Порядок проведення конкурсу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 Засідання комісії проводиться у разі присутності не менше половини її кількісного складу. Конкурс проводиться за наявності не менше двох учасників. 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3.2. У разі наявності одного учасника конкурсу з відбору суб'єктів оціночної діяльності комісія приймає рішення щодо 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оголошення повторного конкурсу.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 Якщо на участь у повторному конкурсі надійде заява тільки від претендента, який подавав свою конкурсну пропозицію на попередньому конкурсі, комісія приймає рішення про укладення з ним договору на виконання робіт із незалежної оцінки майна. При цьому претендент не може внести нову пропозицію та зобов’язаний підтвердити ч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инність попередньої пропозиції.</w:t>
      </w:r>
    </w:p>
    <w:p w:rsidR="00B22FAC" w:rsidRPr="0089203B" w:rsidRDefault="00735C47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 день проведення конкурсу відбувається засідання комісії, на якому розглядається конкурсна документація претендентів. Конверти учасників  конкурсу з конкурсною документацією розпечатуються на засіданні комісії.</w:t>
      </w:r>
    </w:p>
    <w:p w:rsidR="00B22FAC" w:rsidRPr="0089203B" w:rsidRDefault="00B22FAC" w:rsidP="005733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3.4. У разі, якщо претендент несвоєчасно подав відповідний пакет документів або подана ним конкурсна документація є неповною, комісія на засіданні приймає рішення щодо недопущення його до участі в конкурсі. За письмовою заявою претендента підготовлена ним конкурсна документація може бути повернута після затвердження протоколу засідання. 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3.5. При обранні переможця із числа учасників конкурсу з відбору суб'єктів оціночної діяльності враховується загальна оцінка балів конкурсної пропозиції кожного з учасників за такими критеріями: </w:t>
      </w:r>
    </w:p>
    <w:p w:rsidR="00B22FAC" w:rsidRPr="0089203B" w:rsidRDefault="00735C47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B22FAC" w:rsidRP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запропонована учасником конкурсу вартість робіт: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 балів – найменша пропозиція;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балів – друга за найменшою пропозиція;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балів – третя за найменшою пропозиція;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 балів – інші пропозиції; </w:t>
      </w:r>
    </w:p>
    <w:p w:rsidR="00B22FAC" w:rsidRPr="0089203B" w:rsidRDefault="00735C47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EC011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запропонований термін виконання робіт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 бали – най</w:t>
      </w:r>
      <w:r w:rsidR="00EC011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коротший термін виконання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22FAC" w:rsidRPr="0089203B" w:rsidRDefault="00EC011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 бали – другий за найкоротшим терміном виконання робіт;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22FAC" w:rsidRPr="0089203B" w:rsidRDefault="00910DE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бал </w:t>
      </w:r>
      <w:r w:rsidR="00B22FAC"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інші пропозиції.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 Рішення комісії про обрання переможця приймається шляхом визначення учасника, пропозиція якого набр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ала найбільшу кількість балів. 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3.7. Секретар комісії на засіданні комісії заповнює відомість підсумків оцінки конкурсних пропозицій щодо відбору оцінювачів майна до цього Положення.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3.8. За результатами голосування за біл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ьшості голосів членів комісії,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присутніх на засіданні, переможцем конкурсу може бути не визнаний жоден з його учасників. У таких випадках комісія відкладає прийняття рішення про визнання переможця конкурсу на наступне з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асідання та може запропонувати </w:t>
      </w: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усім учасникам конкурсу подати додаткові пропозиції щодо умов оплати робіт та додаткові відомості щодо досвіду з оцінки майна аб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призначити повторний конкурс.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3.9. Результати конкурсу оформляються протоколом, який підписують усі прису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тні на засіданні члени комісії.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3.10. Після проведення конкурсу комісія письмово (або в інший спосіб) інформує учасників конкурсу п</w:t>
      </w:r>
      <w:r w:rsidR="00910D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 рішення комісії.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3.11. На підставі протоколу конкурсної комісії, власник комунального майна, яке підлягає оцінці, укладає з переможцем конкурсу договір про виконання робіт з незалежної оцінки відповідного майна.</w:t>
      </w:r>
    </w:p>
    <w:p w:rsidR="00B22FAC" w:rsidRPr="0089203B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3.12. Якщо не надійшло жодної заяви на участь у конкурсі, конкурс вважається таким, що не відбувся. У цьому випадку конкурсна комісія приймає рішення про повторне оголошення конкурсу. </w:t>
      </w:r>
    </w:p>
    <w:p w:rsidR="00B22FAC" w:rsidRDefault="00B22FAC" w:rsidP="0089203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3.13. На підставі протоколу конкурсної комісії, власник комунального майна, яке підлягає оцінці, укладає з переможцем конкурсу договір про виконання робіт з незалежної оцінки відповідного майна. </w:t>
      </w:r>
    </w:p>
    <w:p w:rsidR="0089203B" w:rsidRDefault="0089203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3F3A4C" w:rsidRPr="0089203B" w:rsidRDefault="003F3A4C" w:rsidP="00573394">
      <w:pPr>
        <w:pStyle w:val="Ch60"/>
        <w:pageBreakBefore/>
        <w:spacing w:before="0" w:line="240" w:lineRule="auto"/>
        <w:ind w:left="6096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lastRenderedPageBreak/>
        <w:t>Додаток 1</w:t>
      </w:r>
      <w:r w:rsidRPr="0089203B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Положення </w:t>
      </w:r>
    </w:p>
    <w:p w:rsidR="00910DEC" w:rsidRDefault="00910DEC" w:rsidP="00573394">
      <w:pPr>
        <w:pStyle w:val="Ch6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3F3A4C" w:rsidRPr="0089203B" w:rsidRDefault="003F3A4C" w:rsidP="00573394">
      <w:pPr>
        <w:pStyle w:val="Ch6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 xml:space="preserve">ІНФОРМАЦІЯ </w:t>
      </w:r>
      <w:r w:rsidRPr="0089203B">
        <w:rPr>
          <w:rFonts w:ascii="Times New Roman" w:hAnsi="Times New Roman" w:cs="Times New Roman"/>
          <w:w w:val="100"/>
          <w:sz w:val="24"/>
          <w:szCs w:val="24"/>
        </w:rPr>
        <w:br/>
        <w:t>про об’єкт оцінки*</w:t>
      </w:r>
    </w:p>
    <w:p w:rsidR="003F3A4C" w:rsidRPr="0089203B" w:rsidRDefault="003F3A4C" w:rsidP="00573394">
      <w:pPr>
        <w:pStyle w:val="Ch61"/>
        <w:spacing w:before="0" w:line="240" w:lineRule="auto"/>
        <w:jc w:val="center"/>
        <w:rPr>
          <w:rFonts w:ascii="Times New Roman" w:hAnsi="Times New Roman" w:cs="Times New Roman"/>
          <w:w w:val="100"/>
          <w:sz w:val="20"/>
          <w:szCs w:val="20"/>
        </w:rPr>
      </w:pPr>
      <w:r w:rsidRPr="0089203B">
        <w:rPr>
          <w:rFonts w:ascii="Times New Roman" w:hAnsi="Times New Roman" w:cs="Times New Roman"/>
          <w:w w:val="100"/>
          <w:sz w:val="20"/>
          <w:szCs w:val="20"/>
        </w:rPr>
        <w:t xml:space="preserve">(для визначення вартості необоротних активів, цілісних майнових комплексів, </w:t>
      </w:r>
      <w:r w:rsidRPr="0089203B">
        <w:rPr>
          <w:rFonts w:ascii="Times New Roman" w:hAnsi="Times New Roman" w:cs="Times New Roman"/>
          <w:w w:val="100"/>
          <w:sz w:val="20"/>
          <w:szCs w:val="20"/>
        </w:rPr>
        <w:br/>
        <w:t>індивідуально визначеного майна, пакетів акцій, часток (паїв), земельних ділянок)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Найменування об’єкта оцінки _________________________________________________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3F3A4C" w:rsidRPr="0089203B" w:rsidRDefault="003F3A4C" w:rsidP="00573394">
      <w:pPr>
        <w:pStyle w:val="StrokeCh6"/>
        <w:spacing w:before="0" w:line="240" w:lineRule="auto"/>
        <w:rPr>
          <w:rFonts w:ascii="Times New Roman" w:hAnsi="Times New Roman" w:cs="Times New Roman"/>
          <w:w w:val="100"/>
          <w:sz w:val="20"/>
          <w:szCs w:val="20"/>
        </w:rPr>
      </w:pPr>
      <w:r w:rsidRPr="0089203B">
        <w:rPr>
          <w:rFonts w:ascii="Times New Roman" w:hAnsi="Times New Roman" w:cs="Times New Roman"/>
          <w:w w:val="100"/>
          <w:sz w:val="20"/>
          <w:szCs w:val="20"/>
        </w:rPr>
        <w:t>(найменування юридичної особи)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Місцезнаходження об’єкта оцінки або підприємства, майно якого оцінюється 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3F3A4C" w:rsidRPr="0089203B" w:rsidRDefault="003F3A4C" w:rsidP="00573394">
      <w:pPr>
        <w:pStyle w:val="StrokeCh6"/>
        <w:spacing w:before="0" w:line="240" w:lineRule="auto"/>
        <w:rPr>
          <w:rFonts w:ascii="Times New Roman" w:hAnsi="Times New Roman" w:cs="Times New Roman"/>
          <w:w w:val="100"/>
          <w:sz w:val="20"/>
          <w:szCs w:val="20"/>
        </w:rPr>
      </w:pPr>
      <w:r w:rsidRPr="0089203B">
        <w:rPr>
          <w:rFonts w:ascii="Times New Roman" w:hAnsi="Times New Roman" w:cs="Times New Roman"/>
          <w:w w:val="100"/>
          <w:sz w:val="20"/>
          <w:szCs w:val="20"/>
        </w:rPr>
        <w:t>(поштовий індекс, місцезнаходження)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Мета проведення незалежної оцінки ____________________________________________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F3A4C" w:rsidRPr="0089203B" w:rsidTr="00BB599B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3A4C" w:rsidRPr="0089203B" w:rsidRDefault="003F3A4C" w:rsidP="00573394">
            <w:pPr>
              <w:pStyle w:val="a9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F3A4C" w:rsidRPr="0089203B" w:rsidRDefault="003F3A4C" w:rsidP="00573394">
      <w:pPr>
        <w:pStyle w:val="StrokeCh6"/>
        <w:spacing w:before="0" w:line="240" w:lineRule="auto"/>
        <w:rPr>
          <w:rFonts w:ascii="Times New Roman" w:hAnsi="Times New Roman" w:cs="Times New Roman"/>
          <w:w w:val="100"/>
          <w:sz w:val="20"/>
          <w:szCs w:val="20"/>
        </w:rPr>
      </w:pPr>
      <w:r w:rsidRPr="0089203B">
        <w:rPr>
          <w:rFonts w:ascii="Times New Roman" w:hAnsi="Times New Roman" w:cs="Times New Roman"/>
          <w:w w:val="100"/>
          <w:sz w:val="20"/>
          <w:szCs w:val="20"/>
        </w:rPr>
        <w:t>(телефон)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Електронна адреса ___________________________________________________________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Балансова залишкова вартість основних засобів, незавершеного будівництва, довгострокових фінансових інвестицій, нематеріальних активів 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станом на __________________________________________________________________</w:t>
      </w:r>
    </w:p>
    <w:p w:rsidR="003F3A4C" w:rsidRPr="0089203B" w:rsidRDefault="003F3A4C" w:rsidP="00573394">
      <w:pPr>
        <w:pStyle w:val="StrokeCh6"/>
        <w:spacing w:before="0" w:line="240" w:lineRule="auto"/>
        <w:ind w:left="860"/>
        <w:rPr>
          <w:rFonts w:ascii="Times New Roman" w:hAnsi="Times New Roman" w:cs="Times New Roman"/>
          <w:w w:val="100"/>
          <w:sz w:val="20"/>
          <w:szCs w:val="20"/>
        </w:rPr>
      </w:pPr>
      <w:r w:rsidRPr="0089203B">
        <w:rPr>
          <w:rFonts w:ascii="Times New Roman" w:hAnsi="Times New Roman" w:cs="Times New Roman"/>
          <w:w w:val="100"/>
          <w:sz w:val="20"/>
          <w:szCs w:val="20"/>
        </w:rPr>
        <w:t>(за останній звітний період)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Розмір земельної ділянки (ділянок), усього ______________________________________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Місце розташування земельної ділянки (ділянок) 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Цільове призначення земельної ділянки (ділянок) 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Правовий режим земельної ділянки (ділянок) ____________________________________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Нормативна грошова оцінка земельної ділянки (ділянок) (за наявності) ______________</w:t>
      </w:r>
    </w:p>
    <w:p w:rsidR="003F3A4C" w:rsidRPr="0089203B" w:rsidRDefault="003F3A4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9203B">
        <w:rPr>
          <w:rFonts w:ascii="Times New Roman" w:hAnsi="Times New Roman" w:cs="Times New Roman"/>
          <w:w w:val="100"/>
          <w:sz w:val="24"/>
          <w:szCs w:val="24"/>
        </w:rPr>
        <w:t>Дата оцінки (дата, на яку проводиться оцінка майна) ______________________________</w:t>
      </w:r>
    </w:p>
    <w:p w:rsidR="00EC011C" w:rsidRPr="0089203B" w:rsidRDefault="00EC011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EC011C" w:rsidRPr="0089203B" w:rsidRDefault="00EC011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EC011C" w:rsidRPr="0089203B" w:rsidRDefault="00EC011C" w:rsidP="00573394">
      <w:pPr>
        <w:pStyle w:val="Ch61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458"/>
        <w:gridCol w:w="1690"/>
        <w:gridCol w:w="4140"/>
      </w:tblGrid>
      <w:tr w:rsidR="003F3A4C" w:rsidRPr="0089203B" w:rsidTr="00BB599B">
        <w:trPr>
          <w:trHeight w:val="60"/>
        </w:trPr>
        <w:tc>
          <w:tcPr>
            <w:tcW w:w="3458" w:type="dxa"/>
          </w:tcPr>
          <w:p w:rsidR="003F3A4C" w:rsidRPr="0089203B" w:rsidRDefault="003F3A4C" w:rsidP="00573394">
            <w:pPr>
              <w:pStyle w:val="Ch61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203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Відповідальна за подання </w:t>
            </w:r>
            <w:r w:rsidRPr="0089203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інформації особа</w:t>
            </w:r>
          </w:p>
        </w:tc>
        <w:tc>
          <w:tcPr>
            <w:tcW w:w="1690" w:type="dxa"/>
          </w:tcPr>
          <w:p w:rsidR="003F3A4C" w:rsidRPr="0089203B" w:rsidRDefault="003F3A4C" w:rsidP="00573394">
            <w:pPr>
              <w:pStyle w:val="Ch61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203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</w:t>
            </w:r>
          </w:p>
          <w:p w:rsidR="003F3A4C" w:rsidRPr="0089203B" w:rsidRDefault="003F3A4C" w:rsidP="00573394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203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140" w:type="dxa"/>
          </w:tcPr>
          <w:p w:rsidR="003F3A4C" w:rsidRPr="0089203B" w:rsidRDefault="003F3A4C" w:rsidP="00573394">
            <w:pPr>
              <w:pStyle w:val="Ch61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203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</w:t>
            </w:r>
          </w:p>
          <w:p w:rsidR="003F3A4C" w:rsidRPr="0089203B" w:rsidRDefault="003F3A4C" w:rsidP="00573394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203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3F3A4C" w:rsidRPr="0089203B" w:rsidRDefault="003F3A4C" w:rsidP="005733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89203B">
        <w:rPr>
          <w:rFonts w:ascii="Times New Roman" w:hAnsi="Times New Roman" w:cs="Times New Roman"/>
          <w:sz w:val="20"/>
          <w:szCs w:val="20"/>
          <w:lang w:val="uk-UA" w:eastAsia="ru-RU"/>
        </w:rPr>
        <w:t>__________</w:t>
      </w:r>
      <w:r w:rsidRPr="0089203B">
        <w:rPr>
          <w:rFonts w:ascii="Times New Roman" w:hAnsi="Times New Roman" w:cs="Times New Roman"/>
          <w:sz w:val="20"/>
          <w:szCs w:val="20"/>
          <w:lang w:val="uk-UA" w:eastAsia="ru-RU"/>
        </w:rPr>
        <w:br/>
        <w:t>* До інформаційного оголошення про проведення конкурсу вносяться лише наявні показники.</w:t>
      </w:r>
    </w:p>
    <w:p w:rsidR="003F3A4C" w:rsidRPr="0089203B" w:rsidRDefault="003F3A4C" w:rsidP="00573394">
      <w:pPr>
        <w:pStyle w:val="a3"/>
        <w:ind w:firstLine="567"/>
        <w:jc w:val="both"/>
        <w:rPr>
          <w:rStyle w:val="st121"/>
          <w:rFonts w:ascii="Times New Roman" w:hAnsi="Times New Roman" w:cs="Times New Roman"/>
          <w:lang w:val="uk-UA"/>
        </w:rPr>
      </w:pPr>
    </w:p>
    <w:p w:rsidR="00136930" w:rsidRPr="0089203B" w:rsidRDefault="00136930" w:rsidP="00573394">
      <w:pPr>
        <w:pStyle w:val="a3"/>
        <w:ind w:firstLine="567"/>
        <w:jc w:val="both"/>
        <w:rPr>
          <w:rStyle w:val="st121"/>
          <w:rFonts w:ascii="Times New Roman" w:hAnsi="Times New Roman" w:cs="Times New Roman"/>
          <w:lang w:val="uk-UA"/>
        </w:rPr>
      </w:pPr>
    </w:p>
    <w:p w:rsidR="00573394" w:rsidRPr="0089203B" w:rsidRDefault="00573394">
      <w:pPr>
        <w:rPr>
          <w:rStyle w:val="st121"/>
          <w:rFonts w:ascii="Times New Roman" w:eastAsiaTheme="minorEastAsia" w:hAnsi="Times New Roman" w:cs="Times New Roman"/>
          <w:lang w:val="uk-UA" w:eastAsia="ru-RU"/>
        </w:rPr>
      </w:pPr>
      <w:r w:rsidRPr="0089203B">
        <w:rPr>
          <w:rStyle w:val="st121"/>
          <w:rFonts w:ascii="Times New Roman" w:hAnsi="Times New Roman" w:cs="Times New Roman"/>
          <w:lang w:val="uk-UA"/>
        </w:rPr>
        <w:br w:type="page"/>
      </w:r>
    </w:p>
    <w:p w:rsidR="00136930" w:rsidRPr="0089203B" w:rsidRDefault="00136930" w:rsidP="00573394">
      <w:pPr>
        <w:pStyle w:val="a3"/>
        <w:ind w:firstLine="567"/>
        <w:jc w:val="both"/>
        <w:rPr>
          <w:rStyle w:val="st121"/>
          <w:rFonts w:ascii="Times New Roman" w:hAnsi="Times New Roman" w:cs="Times New Roman"/>
          <w:lang w:val="uk-UA"/>
        </w:rPr>
      </w:pPr>
    </w:p>
    <w:p w:rsidR="00136930" w:rsidRPr="0089203B" w:rsidRDefault="00136930" w:rsidP="00573394">
      <w:pPr>
        <w:pStyle w:val="a3"/>
        <w:ind w:firstLine="567"/>
        <w:jc w:val="both"/>
        <w:rPr>
          <w:rStyle w:val="st121"/>
          <w:rFonts w:ascii="Times New Roman" w:hAnsi="Times New Roman" w:cs="Times New Roman"/>
          <w:lang w:val="uk-UA"/>
        </w:rPr>
      </w:pPr>
    </w:p>
    <w:p w:rsidR="00136930" w:rsidRPr="0089203B" w:rsidRDefault="0013693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</w:tblGrid>
      <w:tr w:rsidR="00136930" w:rsidRPr="0089203B" w:rsidTr="00136930">
        <w:tc>
          <w:tcPr>
            <w:tcW w:w="4722" w:type="dxa"/>
          </w:tcPr>
          <w:p w:rsidR="00136930" w:rsidRPr="0089203B" w:rsidRDefault="00136930" w:rsidP="00573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</w:t>
            </w:r>
          </w:p>
          <w:p w:rsidR="00136930" w:rsidRPr="0089203B" w:rsidRDefault="00136930" w:rsidP="00573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Положення </w:t>
            </w:r>
          </w:p>
        </w:tc>
      </w:tr>
    </w:tbl>
    <w:p w:rsidR="00136930" w:rsidRPr="0089203B" w:rsidRDefault="00136930" w:rsidP="005733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0"/>
      </w:tblGrid>
      <w:tr w:rsidR="00136930" w:rsidRPr="0089203B" w:rsidTr="00436926">
        <w:tc>
          <w:tcPr>
            <w:tcW w:w="5861" w:type="dxa"/>
          </w:tcPr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конкурсної комісії </w:t>
            </w:r>
            <w:r w:rsidRPr="00892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відбору суб’єктів оціночної діяльності для проведення незалежної оцінки об’єктів комунальної власності </w:t>
            </w:r>
            <w:proofErr w:type="spellStart"/>
            <w:r w:rsidRPr="00892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Ставненської</w:t>
            </w:r>
            <w:proofErr w:type="spellEnd"/>
            <w:r w:rsidRPr="00892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сільської ради, що підлягають наданню в оренду та відчуженню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_______________________________________________________________________________________</w:t>
            </w:r>
            <w:r w:rsidR="00436926"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_____________________</w:t>
            </w: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(повна назва юридичної особи, ПІБ фізичної особи підприємця)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_____________________________</w:t>
            </w:r>
            <w:r w:rsidR="00436926"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</w:t>
            </w: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</w:t>
            </w:r>
            <w:r w:rsidR="00436926"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</w:t>
            </w: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________________________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(юридична адреса)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</w:t>
            </w:r>
            <w:r w:rsidR="00436926"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</w:t>
            </w: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________________________</w:t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</w:t>
            </w:r>
            <w:r w:rsidR="00436926"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</w:t>
            </w:r>
            <w:r w:rsidRPr="008920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________________________</w:t>
            </w:r>
          </w:p>
          <w:p w:rsidR="00136930" w:rsidRPr="0089203B" w:rsidRDefault="00436926" w:rsidP="00573394">
            <w:pPr>
              <w:pStyle w:val="a3"/>
              <w:pBdr>
                <w:bottom w:val="single" w:sz="12" w:space="1" w:color="auto"/>
              </w:pBdr>
              <w:tabs>
                <w:tab w:val="center" w:pos="2258"/>
                <w:tab w:val="right" w:pos="451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</w:t>
            </w:r>
            <w:r w:rsidR="00136930" w:rsidRPr="00892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ab/>
              <w:t>(місцезнаходження – адреса офісу)</w:t>
            </w:r>
            <w:r w:rsidR="00136930" w:rsidRPr="00892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ab/>
            </w:r>
          </w:p>
          <w:p w:rsidR="00136930" w:rsidRPr="0089203B" w:rsidRDefault="00136930" w:rsidP="00573394">
            <w:pPr>
              <w:pStyle w:val="a3"/>
              <w:pBdr>
                <w:bottom w:val="single" w:sz="12" w:space="1" w:color="auto"/>
              </w:pBdr>
              <w:tabs>
                <w:tab w:val="center" w:pos="2258"/>
                <w:tab w:val="right" w:pos="451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_________</w:t>
            </w:r>
            <w:r w:rsidR="00436926" w:rsidRPr="00892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__________</w:t>
            </w:r>
            <w:r w:rsidRPr="00892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____________________</w:t>
            </w:r>
          </w:p>
          <w:p w:rsidR="00136930" w:rsidRPr="0089203B" w:rsidRDefault="00436926" w:rsidP="00573394">
            <w:pPr>
              <w:pStyle w:val="a3"/>
              <w:pBdr>
                <w:bottom w:val="single" w:sz="12" w:space="1" w:color="auto"/>
              </w:pBdr>
              <w:tabs>
                <w:tab w:val="center" w:pos="2258"/>
                <w:tab w:val="right" w:pos="451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(номери контактних телефонів)</w:t>
            </w:r>
          </w:p>
          <w:p w:rsidR="00436926" w:rsidRPr="0089203B" w:rsidRDefault="00436926" w:rsidP="00573394">
            <w:pPr>
              <w:pStyle w:val="a3"/>
              <w:pBdr>
                <w:bottom w:val="single" w:sz="12" w:space="1" w:color="auto"/>
              </w:pBdr>
              <w:tabs>
                <w:tab w:val="center" w:pos="2258"/>
                <w:tab w:val="right" w:pos="451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136930" w:rsidRPr="0089203B" w:rsidRDefault="00136930" w:rsidP="005733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926" w:rsidRPr="0089203B" w:rsidRDefault="00436926" w:rsidP="005733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926" w:rsidRPr="0089203B" w:rsidRDefault="00436926" w:rsidP="005733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436926" w:rsidRPr="0089203B" w:rsidRDefault="00EF31B0" w:rsidP="005733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36926"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участь у конкурсі з відбору </w:t>
      </w:r>
      <w:r w:rsidRPr="0089203B">
        <w:rPr>
          <w:rFonts w:ascii="Times New Roman" w:hAnsi="Times New Roman" w:cs="Times New Roman"/>
          <w:b/>
          <w:sz w:val="28"/>
          <w:szCs w:val="28"/>
          <w:lang w:val="uk-UA"/>
        </w:rPr>
        <w:t>суб’єктів</w:t>
      </w:r>
      <w:r w:rsidR="00436926" w:rsidRPr="0089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оціночної діяльності</w:t>
      </w:r>
    </w:p>
    <w:p w:rsidR="00EF31B0" w:rsidRPr="0089203B" w:rsidRDefault="00EF31B0" w:rsidP="005733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Заявник _____________________________________________________________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( найменування </w:t>
      </w:r>
      <w:r w:rsidRPr="008920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юридичної особи, ПІБ фізичної особи підприємця)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Сертифікат суб’єкта оціночної діяльності від ________________ №____________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Керівник ____________________________________________________________,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9203B">
        <w:rPr>
          <w:rFonts w:ascii="Times New Roman" w:hAnsi="Times New Roman" w:cs="Times New Roman"/>
          <w:sz w:val="24"/>
          <w:szCs w:val="24"/>
          <w:lang w:val="uk-UA"/>
        </w:rPr>
        <w:t>(прізвище, ім’я та по батькові; посада)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який діє на підставі ___________________________________________________ 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EF31B0" w:rsidRPr="0089203B" w:rsidRDefault="00EF31B0" w:rsidP="0057339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>(назва установчого документа або виписка з Єдиного державного реєстру юридичних осіб та фізичних осіб-підприємців)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Зареєстрованого ___________________ за №_______________________________</w:t>
      </w:r>
    </w:p>
    <w:p w:rsidR="00EF31B0" w:rsidRPr="0089203B" w:rsidRDefault="00EF31B0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Код заявника за ЄДРПОУ, реєстраційний номер облікової картки платника податків або серія</w:t>
      </w:r>
      <w:r w:rsidR="004A0657"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 та номер паспорта (для фізичних осіб, які через свої релігійні переконання відмовляються від прийняття ре</w:t>
      </w:r>
      <w:r w:rsidR="000020A7" w:rsidRPr="0089203B">
        <w:rPr>
          <w:rFonts w:ascii="Times New Roman" w:hAnsi="Times New Roman" w:cs="Times New Roman"/>
          <w:sz w:val="28"/>
          <w:szCs w:val="28"/>
          <w:lang w:val="uk-UA"/>
        </w:rPr>
        <w:t xml:space="preserve">єстраційного номера облікової </w:t>
      </w:r>
      <w:r w:rsidR="000020A7" w:rsidRPr="0089203B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картки платника податків та повідомили про це відповідний контролюючий орган і мають відмітку у паспорті)________________________________________</w:t>
      </w:r>
    </w:p>
    <w:p w:rsidR="000020A7" w:rsidRPr="0089203B" w:rsidRDefault="000020A7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0020A7" w:rsidRPr="0089203B" w:rsidRDefault="000020A7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Місцезнаходження (місце проживання) ___________________________________</w:t>
      </w:r>
    </w:p>
    <w:p w:rsidR="000020A7" w:rsidRPr="0089203B" w:rsidRDefault="000020A7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0020A7" w:rsidRPr="0089203B" w:rsidRDefault="000020A7" w:rsidP="005733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______________                   __________________                 __________________</w:t>
      </w: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 xml:space="preserve">           (тел.)</w:t>
      </w:r>
      <w:r w:rsidRPr="0089203B">
        <w:rPr>
          <w:rFonts w:ascii="Times New Roman" w:hAnsi="Times New Roman" w:cs="Times New Roman"/>
          <w:sz w:val="24"/>
          <w:szCs w:val="24"/>
          <w:lang w:val="uk-UA"/>
        </w:rPr>
        <w:tab/>
        <w:t>(телефакс)                               (електронна адреса)</w:t>
      </w: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Просимо дозволити взяти участь у конкурсі щодо відбору суб’єктів оціночної діяльності на право проведення незалежної оцінки ________________________</w:t>
      </w: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03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(повна назва об’єкта)</w:t>
      </w: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0020A7" w:rsidRPr="0089203B" w:rsidRDefault="000020A7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 xml:space="preserve">              (дата)                                                   М.П.                               (за наявності) (підпис)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3394" w:rsidRPr="0089203B" w:rsidRDefault="00573394">
      <w:pP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>До Положення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GoBack"/>
      <w:bookmarkEnd w:id="18"/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b/>
          <w:sz w:val="24"/>
          <w:szCs w:val="24"/>
          <w:lang w:val="uk-UA"/>
        </w:rPr>
        <w:t>ВІДОМІСТЬ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b/>
          <w:sz w:val="24"/>
          <w:szCs w:val="24"/>
          <w:lang w:val="uk-UA"/>
        </w:rPr>
        <w:t>підсумків голосування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>Об’єкт оцінки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>(найменування об’єкта оцінки)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562"/>
        <w:gridCol w:w="5529"/>
        <w:gridCol w:w="1968"/>
        <w:gridCol w:w="1620"/>
      </w:tblGrid>
      <w:tr w:rsidR="00DF26AF" w:rsidRPr="0089203B" w:rsidTr="00DF26AF">
        <w:tc>
          <w:tcPr>
            <w:tcW w:w="562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9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конкурсу</w:t>
            </w:r>
          </w:p>
        </w:tc>
        <w:tc>
          <w:tcPr>
            <w:tcW w:w="3588" w:type="dxa"/>
            <w:gridSpan w:val="2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голосів</w:t>
            </w:r>
          </w:p>
        </w:tc>
      </w:tr>
      <w:tr w:rsidR="00DF26AF" w:rsidRPr="003B294E" w:rsidTr="00DF26AF">
        <w:tc>
          <w:tcPr>
            <w:tcW w:w="562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89203B">
              <w:rPr>
                <w:rFonts w:ascii="Times New Roman" w:hAnsi="Times New Roman" w:cs="Times New Roman"/>
                <w:lang w:val="uk-UA"/>
              </w:rPr>
              <w:t xml:space="preserve">Сукупна кількість балів </w:t>
            </w:r>
            <w:r w:rsidRPr="0089203B">
              <w:rPr>
                <w:rFonts w:ascii="Times New Roman" w:hAnsi="Times New Roman" w:cs="Times New Roman"/>
                <w:color w:val="000000" w:themeColor="text1"/>
                <w:lang w:val="uk-UA"/>
              </w:rPr>
              <w:t>щодо запропонованої учасником конкурсу вартості робіт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03B">
              <w:rPr>
                <w:rFonts w:ascii="Times New Roman" w:hAnsi="Times New Roman" w:cs="Times New Roman"/>
                <w:lang w:val="uk-UA"/>
              </w:rPr>
              <w:t xml:space="preserve">Сукупна кількість балів </w:t>
            </w:r>
            <w:r w:rsidRPr="0089203B">
              <w:rPr>
                <w:rFonts w:ascii="Times New Roman" w:hAnsi="Times New Roman" w:cs="Times New Roman"/>
                <w:color w:val="000000" w:themeColor="text1"/>
                <w:lang w:val="uk-UA"/>
              </w:rPr>
              <w:t>щодо</w:t>
            </w:r>
            <w:r w:rsidR="001E7AAD" w:rsidRPr="0089203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EC011C" w:rsidRPr="0089203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терміну виконання </w:t>
            </w:r>
            <w:r w:rsidR="001E7AAD" w:rsidRPr="0089203B">
              <w:rPr>
                <w:rFonts w:ascii="Times New Roman" w:hAnsi="Times New Roman" w:cs="Times New Roman"/>
                <w:color w:val="000000" w:themeColor="text1"/>
                <w:lang w:val="uk-UA"/>
              </w:rPr>
              <w:t>оцінювальних робіт</w:t>
            </w:r>
          </w:p>
        </w:tc>
      </w:tr>
      <w:tr w:rsidR="00DF26AF" w:rsidRPr="003B294E" w:rsidTr="00DF26AF">
        <w:tc>
          <w:tcPr>
            <w:tcW w:w="562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6AF" w:rsidRPr="003B294E" w:rsidTr="00DF26AF">
        <w:tc>
          <w:tcPr>
            <w:tcW w:w="562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F26AF" w:rsidRPr="0089203B" w:rsidRDefault="00DF26AF" w:rsidP="00573394">
            <w:pPr>
              <w:pStyle w:val="a3"/>
              <w:tabs>
                <w:tab w:val="left" w:pos="4185"/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26AF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DEC" w:rsidRPr="0089203B" w:rsidRDefault="00910DEC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                    _____________                           __________________________</w:t>
      </w:r>
    </w:p>
    <w:p w:rsidR="00DF26AF" w:rsidRPr="0089203B" w:rsidRDefault="00DF26AF" w:rsidP="00573394">
      <w:pPr>
        <w:pStyle w:val="a3"/>
        <w:tabs>
          <w:tab w:val="left" w:pos="4185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0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(підпис)                                           (власне ім’я, прізвище)</w:t>
      </w:r>
    </w:p>
    <w:sectPr w:rsidR="00DF26AF" w:rsidRPr="0089203B" w:rsidSect="00D67CE1">
      <w:headerReference w:type="default" r:id="rId10"/>
      <w:pgSz w:w="12240" w:h="15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11" w:rsidRDefault="006E6511" w:rsidP="00694655">
      <w:pPr>
        <w:spacing w:after="0" w:line="240" w:lineRule="auto"/>
      </w:pPr>
      <w:r>
        <w:separator/>
      </w:r>
    </w:p>
  </w:endnote>
  <w:endnote w:type="continuationSeparator" w:id="0">
    <w:p w:rsidR="006E6511" w:rsidRDefault="006E6511" w:rsidP="0069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11" w:rsidRDefault="006E6511" w:rsidP="00694655">
      <w:pPr>
        <w:spacing w:after="0" w:line="240" w:lineRule="auto"/>
      </w:pPr>
      <w:r>
        <w:separator/>
      </w:r>
    </w:p>
  </w:footnote>
  <w:footnote w:type="continuationSeparator" w:id="0">
    <w:p w:rsidR="006E6511" w:rsidRDefault="006E6511" w:rsidP="0069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4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4655" w:rsidRPr="00694655" w:rsidRDefault="00336A8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46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4655" w:rsidRPr="006946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46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29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46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4655" w:rsidRDefault="0069465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C3B"/>
    <w:multiLevelType w:val="hybridMultilevel"/>
    <w:tmpl w:val="36E2E960"/>
    <w:lvl w:ilvl="0" w:tplc="FA02ABA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E663DA"/>
    <w:multiLevelType w:val="multilevel"/>
    <w:tmpl w:val="D20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D581D"/>
    <w:multiLevelType w:val="multilevel"/>
    <w:tmpl w:val="564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D26CD"/>
    <w:multiLevelType w:val="multilevel"/>
    <w:tmpl w:val="81B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95A1C"/>
    <w:multiLevelType w:val="multilevel"/>
    <w:tmpl w:val="5BA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0011B"/>
    <w:multiLevelType w:val="multilevel"/>
    <w:tmpl w:val="46A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D16F9"/>
    <w:multiLevelType w:val="multilevel"/>
    <w:tmpl w:val="126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3EC"/>
    <w:rsid w:val="000020A7"/>
    <w:rsid w:val="00030B86"/>
    <w:rsid w:val="00055E64"/>
    <w:rsid w:val="0008583D"/>
    <w:rsid w:val="0013603F"/>
    <w:rsid w:val="00136930"/>
    <w:rsid w:val="001E33FC"/>
    <w:rsid w:val="001E7AAD"/>
    <w:rsid w:val="002954E9"/>
    <w:rsid w:val="002A26EB"/>
    <w:rsid w:val="002B0A61"/>
    <w:rsid w:val="002C337C"/>
    <w:rsid w:val="00336A85"/>
    <w:rsid w:val="003631C5"/>
    <w:rsid w:val="00384522"/>
    <w:rsid w:val="003B294E"/>
    <w:rsid w:val="003E31AE"/>
    <w:rsid w:val="003F3A4C"/>
    <w:rsid w:val="00436926"/>
    <w:rsid w:val="00437585"/>
    <w:rsid w:val="004A0657"/>
    <w:rsid w:val="004E6F83"/>
    <w:rsid w:val="004F1511"/>
    <w:rsid w:val="0055457A"/>
    <w:rsid w:val="00573394"/>
    <w:rsid w:val="005832BB"/>
    <w:rsid w:val="00694655"/>
    <w:rsid w:val="006B23DD"/>
    <w:rsid w:val="006E6511"/>
    <w:rsid w:val="00721FE4"/>
    <w:rsid w:val="00735C47"/>
    <w:rsid w:val="007659FB"/>
    <w:rsid w:val="0089203B"/>
    <w:rsid w:val="00896CDA"/>
    <w:rsid w:val="008F1F11"/>
    <w:rsid w:val="00910DEC"/>
    <w:rsid w:val="009F04F9"/>
    <w:rsid w:val="00A239AC"/>
    <w:rsid w:val="00A60DC2"/>
    <w:rsid w:val="00B22FAC"/>
    <w:rsid w:val="00B74C1D"/>
    <w:rsid w:val="00B951A8"/>
    <w:rsid w:val="00BB599B"/>
    <w:rsid w:val="00BC427B"/>
    <w:rsid w:val="00BE1B7F"/>
    <w:rsid w:val="00CD6935"/>
    <w:rsid w:val="00CE404B"/>
    <w:rsid w:val="00D20B74"/>
    <w:rsid w:val="00D5547B"/>
    <w:rsid w:val="00D641E7"/>
    <w:rsid w:val="00D6695B"/>
    <w:rsid w:val="00D67CE1"/>
    <w:rsid w:val="00DF038F"/>
    <w:rsid w:val="00DF26AF"/>
    <w:rsid w:val="00E37A7E"/>
    <w:rsid w:val="00E41795"/>
    <w:rsid w:val="00E72EF0"/>
    <w:rsid w:val="00E96A4F"/>
    <w:rsid w:val="00EC011C"/>
    <w:rsid w:val="00EE13EC"/>
    <w:rsid w:val="00EF24F5"/>
    <w:rsid w:val="00EF3197"/>
    <w:rsid w:val="00EF31B0"/>
    <w:rsid w:val="00F160A1"/>
    <w:rsid w:val="00FD13B7"/>
    <w:rsid w:val="00FD4618"/>
    <w:rsid w:val="00FE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522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84522"/>
    <w:rPr>
      <w:color w:val="0000FF"/>
      <w:u w:val="single"/>
    </w:rPr>
  </w:style>
  <w:style w:type="table" w:styleId="a5">
    <w:name w:val="Table Grid"/>
    <w:basedOn w:val="a1"/>
    <w:uiPriority w:val="59"/>
    <w:rsid w:val="00A60DC2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60DC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F11"/>
    <w:rPr>
      <w:rFonts w:ascii="Segoe UI" w:hAnsi="Segoe UI" w:cs="Segoe UI"/>
      <w:sz w:val="18"/>
      <w:szCs w:val="18"/>
    </w:rPr>
  </w:style>
  <w:style w:type="paragraph" w:customStyle="1" w:styleId="a9">
    <w:name w:val="[Без стиля]"/>
    <w:uiPriority w:val="99"/>
    <w:rsid w:val="003F3A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3F3A4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3F3A4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3F3A4C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9"/>
    <w:uiPriority w:val="99"/>
    <w:rsid w:val="003F3A4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st121">
    <w:name w:val="st121"/>
    <w:uiPriority w:val="99"/>
    <w:rsid w:val="003F3A4C"/>
    <w:rPr>
      <w:i/>
      <w:iCs/>
      <w:color w:val="000000"/>
    </w:rPr>
  </w:style>
  <w:style w:type="character" w:customStyle="1" w:styleId="st46">
    <w:name w:val="st46"/>
    <w:uiPriority w:val="99"/>
    <w:rsid w:val="003F3A4C"/>
    <w:rPr>
      <w:i/>
      <w:iCs/>
      <w:color w:val="000000"/>
    </w:rPr>
  </w:style>
  <w:style w:type="paragraph" w:styleId="aa">
    <w:name w:val="List Paragraph"/>
    <w:basedOn w:val="a"/>
    <w:uiPriority w:val="34"/>
    <w:qFormat/>
    <w:rsid w:val="00694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lock Text"/>
    <w:basedOn w:val="a"/>
    <w:rsid w:val="00694655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69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4655"/>
  </w:style>
  <w:style w:type="paragraph" w:styleId="ae">
    <w:name w:val="footer"/>
    <w:basedOn w:val="a"/>
    <w:link w:val="af"/>
    <w:uiPriority w:val="99"/>
    <w:semiHidden/>
    <w:unhideWhenUsed/>
    <w:rsid w:val="0069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4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8-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2024-07-29T13:47:00Z</cp:lastPrinted>
  <dcterms:created xsi:type="dcterms:W3CDTF">2024-07-15T10:25:00Z</dcterms:created>
  <dcterms:modified xsi:type="dcterms:W3CDTF">2024-07-29T13:47:00Z</dcterms:modified>
</cp:coreProperties>
</file>